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FBFD21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E5904" w:rsidRPr="00BE5904">
        <w:rPr>
          <w:rFonts w:ascii="Arial" w:hAnsi="Arial" w:cs="Arial"/>
          <w:b/>
          <w:sz w:val="24"/>
          <w:szCs w:val="24"/>
        </w:rPr>
        <w:t>RP-221771</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8FA8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15E2" w:rsidRPr="003515E2">
        <w:rPr>
          <w:rFonts w:ascii="Arial" w:hAnsi="Arial" w:cs="Arial"/>
          <w:color w:val="000000" w:themeColor="text1"/>
          <w:lang w:eastAsia="ja-JP"/>
        </w:rPr>
        <w:t>9.4.4.3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F7856" w:rsidRDefault="00871653" w:rsidP="001A248F">
            <w:pPr>
              <w:tabs>
                <w:tab w:val="left" w:pos="567"/>
              </w:tabs>
              <w:spacing w:after="0"/>
              <w:rPr>
                <w:rFonts w:ascii="Arial" w:hAnsi="Arial" w:cs="Arial"/>
                <w:color w:val="000000" w:themeColor="text1"/>
                <w:lang w:eastAsia="ja-JP"/>
              </w:rPr>
            </w:pPr>
            <w:r w:rsidRPr="009F7856">
              <w:rPr>
                <w:rFonts w:ascii="Arial" w:hAnsi="Arial" w:cs="Arial"/>
                <w:color w:val="000000" w:themeColor="text1"/>
              </w:rPr>
              <w:t>Study Item:</w:t>
            </w:r>
            <w:r w:rsidRPr="009F7856">
              <w:rPr>
                <w:rFonts w:ascii="Arial" w:hAnsi="Arial" w:cs="Arial" w:hint="eastAsia"/>
                <w:color w:val="000000" w:themeColor="text1"/>
                <w:lang w:eastAsia="ja-JP"/>
              </w:rPr>
              <w:t xml:space="preserve"> </w:t>
            </w:r>
          </w:p>
          <w:p w14:paraId="27D21A4C" w14:textId="60359F18" w:rsidR="00871653" w:rsidRPr="009F7856" w:rsidRDefault="00871653" w:rsidP="001A248F">
            <w:pPr>
              <w:tabs>
                <w:tab w:val="left" w:pos="567"/>
              </w:tabs>
              <w:spacing w:after="0"/>
              <w:rPr>
                <w:rFonts w:ascii="Arial" w:hAnsi="Arial" w:cs="Arial"/>
                <w:color w:val="000000" w:themeColor="text1"/>
              </w:rPr>
            </w:pPr>
            <w:r w:rsidRPr="009F7856">
              <w:rPr>
                <w:rFonts w:ascii="Arial" w:hAnsi="Arial" w:cs="Arial"/>
                <w:color w:val="000000" w:themeColor="text1"/>
                <w:lang w:eastAsia="ja-JP"/>
              </w:rPr>
              <w:t>No</w:t>
            </w:r>
          </w:p>
        </w:tc>
        <w:tc>
          <w:tcPr>
            <w:tcW w:w="1842" w:type="dxa"/>
          </w:tcPr>
          <w:p w14:paraId="424795E6" w14:textId="77777777" w:rsidR="00871653" w:rsidRPr="009F7856" w:rsidRDefault="00871653" w:rsidP="001A248F">
            <w:pPr>
              <w:tabs>
                <w:tab w:val="left" w:pos="567"/>
              </w:tabs>
              <w:spacing w:after="0"/>
              <w:rPr>
                <w:rFonts w:ascii="Arial" w:hAnsi="Arial" w:cs="Arial"/>
                <w:color w:val="000000" w:themeColor="text1"/>
                <w:lang w:eastAsia="ja-JP"/>
              </w:rPr>
            </w:pPr>
            <w:r w:rsidRPr="009F7856">
              <w:rPr>
                <w:rFonts w:ascii="Arial" w:hAnsi="Arial" w:cs="Arial"/>
                <w:color w:val="000000" w:themeColor="text1"/>
              </w:rPr>
              <w:t>Core part:</w:t>
            </w:r>
            <w:r w:rsidRPr="009F7856">
              <w:rPr>
                <w:rFonts w:ascii="Arial" w:hAnsi="Arial" w:cs="Arial"/>
                <w:color w:val="000000" w:themeColor="text1"/>
                <w:lang w:eastAsia="ja-JP"/>
              </w:rPr>
              <w:t xml:space="preserve"> </w:t>
            </w:r>
          </w:p>
          <w:p w14:paraId="4F4E6C8C" w14:textId="3E2F5CA6" w:rsidR="00871653" w:rsidRPr="009F7856" w:rsidRDefault="00871653" w:rsidP="001A248F">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No</w:t>
            </w:r>
          </w:p>
        </w:tc>
        <w:tc>
          <w:tcPr>
            <w:tcW w:w="2309" w:type="dxa"/>
            <w:gridSpan w:val="2"/>
          </w:tcPr>
          <w:p w14:paraId="0EA72874" w14:textId="77777777" w:rsidR="00871653" w:rsidRPr="009F7856" w:rsidRDefault="00871653" w:rsidP="001A248F">
            <w:pPr>
              <w:tabs>
                <w:tab w:val="left" w:pos="567"/>
              </w:tabs>
              <w:spacing w:after="0"/>
              <w:rPr>
                <w:rFonts w:ascii="Arial" w:hAnsi="Arial" w:cs="Arial"/>
                <w:color w:val="000000" w:themeColor="text1"/>
              </w:rPr>
            </w:pPr>
            <w:r w:rsidRPr="009F7856">
              <w:rPr>
                <w:rFonts w:ascii="Arial" w:hAnsi="Arial" w:cs="Arial"/>
                <w:color w:val="000000" w:themeColor="text1"/>
              </w:rPr>
              <w:t>Performance part:</w:t>
            </w:r>
          </w:p>
          <w:p w14:paraId="3DC7ABB4" w14:textId="326CD7F3" w:rsidR="00871653" w:rsidRPr="009F7856" w:rsidRDefault="00871653" w:rsidP="0036248C">
            <w:pPr>
              <w:tabs>
                <w:tab w:val="left" w:pos="567"/>
              </w:tabs>
              <w:spacing w:after="0"/>
              <w:rPr>
                <w:rFonts w:ascii="Arial" w:hAnsi="Arial" w:cs="Arial"/>
                <w:color w:val="000000" w:themeColor="text1"/>
                <w:lang w:eastAsia="ja-JP"/>
              </w:rPr>
            </w:pPr>
            <w:r w:rsidRPr="009F7856">
              <w:rPr>
                <w:rFonts w:ascii="Arial" w:hAnsi="Arial" w:cs="Arial" w:hint="eastAsia"/>
                <w:color w:val="000000" w:themeColor="text1"/>
                <w:lang w:eastAsia="ja-JP"/>
              </w:rPr>
              <w:t>Yes</w:t>
            </w:r>
          </w:p>
        </w:tc>
        <w:tc>
          <w:tcPr>
            <w:tcW w:w="1653" w:type="dxa"/>
          </w:tcPr>
          <w:p w14:paraId="3012EFC2" w14:textId="77777777" w:rsidR="00871653" w:rsidRPr="009F7856" w:rsidRDefault="00871653" w:rsidP="001A248F">
            <w:pPr>
              <w:tabs>
                <w:tab w:val="left" w:pos="567"/>
              </w:tabs>
              <w:spacing w:after="0"/>
              <w:rPr>
                <w:rFonts w:ascii="Arial" w:hAnsi="Arial" w:cs="Arial"/>
                <w:color w:val="000000" w:themeColor="text1"/>
              </w:rPr>
            </w:pPr>
            <w:r w:rsidRPr="009F7856">
              <w:rPr>
                <w:rFonts w:ascii="Arial" w:hAnsi="Arial" w:cs="Arial"/>
                <w:color w:val="000000" w:themeColor="text1"/>
              </w:rPr>
              <w:t>Testing part:</w:t>
            </w:r>
          </w:p>
          <w:p w14:paraId="6184B75F" w14:textId="3D718730" w:rsidR="00871653" w:rsidRPr="009F7856" w:rsidRDefault="00871653" w:rsidP="0036248C">
            <w:pPr>
              <w:tabs>
                <w:tab w:val="left" w:pos="567"/>
              </w:tabs>
              <w:spacing w:after="0"/>
              <w:rPr>
                <w:rFonts w:ascii="Arial" w:hAnsi="Arial" w:cs="Arial"/>
                <w:color w:val="000000" w:themeColor="text1"/>
                <w:lang w:eastAsia="ja-JP"/>
              </w:rPr>
            </w:pPr>
            <w:r w:rsidRPr="009F7856">
              <w:rPr>
                <w:rFonts w:ascii="Arial" w:hAnsi="Arial" w:cs="Arial" w:hint="eastAsia"/>
                <w:color w:val="000000" w:themeColor="text1"/>
                <w:lang w:eastAsia="ja-JP"/>
              </w:rPr>
              <w:t>No</w:t>
            </w:r>
          </w:p>
        </w:tc>
      </w:tr>
      <w:tr w:rsidR="009F7856" w:rsidRPr="008836AC" w14:paraId="12B4E9B7" w14:textId="77777777" w:rsidTr="00871653">
        <w:tc>
          <w:tcPr>
            <w:tcW w:w="2436" w:type="dxa"/>
          </w:tcPr>
          <w:p w14:paraId="1194B810" w14:textId="77777777" w:rsidR="009F7856" w:rsidRPr="008836AC" w:rsidRDefault="009F7856" w:rsidP="009F785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FD7161" w:rsidR="009F7856" w:rsidRPr="009F7856" w:rsidRDefault="009F7856" w:rsidP="009F7856">
            <w:pPr>
              <w:tabs>
                <w:tab w:val="left" w:pos="567"/>
              </w:tabs>
              <w:spacing w:after="0"/>
              <w:rPr>
                <w:rFonts w:ascii="Arial" w:hAnsi="Arial" w:cs="Arial"/>
                <w:color w:val="000000" w:themeColor="text1"/>
              </w:rPr>
            </w:pPr>
            <w:r w:rsidRPr="009F7856">
              <w:rPr>
                <w:rFonts w:ascii="Arial" w:hAnsi="Arial" w:cs="Arial"/>
                <w:color w:val="000000" w:themeColor="text1"/>
              </w:rPr>
              <w:t>NR_DL1024QAM_FR1</w:t>
            </w:r>
          </w:p>
        </w:tc>
      </w:tr>
      <w:tr w:rsidR="009F7856" w:rsidRPr="008836AC" w14:paraId="5DE04433" w14:textId="77777777" w:rsidTr="00871653">
        <w:tc>
          <w:tcPr>
            <w:tcW w:w="2436" w:type="dxa"/>
          </w:tcPr>
          <w:p w14:paraId="4176DAE9" w14:textId="77777777" w:rsidR="009F7856" w:rsidRPr="008836AC" w:rsidRDefault="009F7856" w:rsidP="009F785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A2A039" w:rsidR="009F7856" w:rsidRPr="009F7856" w:rsidRDefault="009F7856" w:rsidP="009F7856">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890156</w:t>
            </w:r>
          </w:p>
        </w:tc>
      </w:tr>
      <w:tr w:rsidR="009F7856" w:rsidRPr="008836AC" w14:paraId="2184CB69" w14:textId="77777777" w:rsidTr="00871653">
        <w:tc>
          <w:tcPr>
            <w:tcW w:w="2436" w:type="dxa"/>
          </w:tcPr>
          <w:p w14:paraId="7FA547CB" w14:textId="77777777" w:rsidR="009F7856" w:rsidRPr="008836AC" w:rsidRDefault="009F7856" w:rsidP="009F785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1E98C30" w:rsidR="009F7856" w:rsidRPr="009F7856" w:rsidRDefault="009F7856" w:rsidP="009F7856">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RP-213654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Study Item: </w:t>
            </w:r>
          </w:p>
          <w:p w14:paraId="2E56FC1C"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mm/yyyy</w:t>
            </w:r>
          </w:p>
        </w:tc>
        <w:tc>
          <w:tcPr>
            <w:tcW w:w="1842" w:type="dxa"/>
          </w:tcPr>
          <w:p w14:paraId="5A128F3E"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Core part: mm/yyyy</w:t>
            </w:r>
          </w:p>
        </w:tc>
        <w:tc>
          <w:tcPr>
            <w:tcW w:w="2268" w:type="dxa"/>
          </w:tcPr>
          <w:p w14:paraId="150E2BE5" w14:textId="34E6668B" w:rsidR="00871653" w:rsidRPr="009F7856" w:rsidRDefault="00871653" w:rsidP="00207DC4">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Performance part: </w:t>
            </w:r>
            <w:r w:rsidR="00BE5904">
              <w:rPr>
                <w:rFonts w:ascii="Arial" w:hAnsi="Arial" w:cs="Arial"/>
                <w:color w:val="000000" w:themeColor="text1"/>
                <w:lang w:eastAsia="ja-JP"/>
              </w:rPr>
              <w:t>6</w:t>
            </w:r>
            <w:r w:rsidRPr="009F7856">
              <w:rPr>
                <w:rFonts w:ascii="Arial" w:hAnsi="Arial" w:cs="Arial"/>
                <w:color w:val="000000" w:themeColor="text1"/>
                <w:lang w:eastAsia="ja-JP"/>
              </w:rPr>
              <w:t>/</w:t>
            </w:r>
            <w:r w:rsidR="009F7856" w:rsidRPr="009F7856">
              <w:rPr>
                <w:rFonts w:ascii="Arial" w:hAnsi="Arial" w:cs="Arial"/>
                <w:color w:val="000000" w:themeColor="text1"/>
                <w:lang w:eastAsia="ja-JP"/>
              </w:rPr>
              <w:t>2022</w:t>
            </w:r>
          </w:p>
        </w:tc>
        <w:tc>
          <w:tcPr>
            <w:tcW w:w="1694" w:type="dxa"/>
            <w:gridSpan w:val="2"/>
          </w:tcPr>
          <w:p w14:paraId="5BB6B905" w14:textId="77777777" w:rsidR="00871653" w:rsidRPr="009F7856" w:rsidRDefault="00871653" w:rsidP="008836AC">
            <w:pPr>
              <w:tabs>
                <w:tab w:val="left" w:pos="567"/>
              </w:tabs>
              <w:spacing w:after="0"/>
              <w:rPr>
                <w:rFonts w:ascii="Arial" w:hAnsi="Arial" w:cs="Arial"/>
                <w:color w:val="000000" w:themeColor="text1"/>
                <w:highlight w:val="yellow"/>
                <w:lang w:eastAsia="ja-JP"/>
              </w:rPr>
            </w:pPr>
            <w:r w:rsidRPr="009F7856">
              <w:rPr>
                <w:rFonts w:ascii="Arial" w:hAnsi="Arial" w:cs="Arial"/>
                <w:color w:val="000000" w:themeColor="text1"/>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Study Item: </w:t>
            </w:r>
          </w:p>
          <w:p w14:paraId="30397E78"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hint="eastAsia"/>
                <w:color w:val="000000" w:themeColor="text1"/>
                <w:lang w:eastAsia="ja-JP"/>
              </w:rPr>
              <w:t>xx %</w:t>
            </w:r>
          </w:p>
        </w:tc>
        <w:tc>
          <w:tcPr>
            <w:tcW w:w="1842" w:type="dxa"/>
          </w:tcPr>
          <w:p w14:paraId="28B58AA7"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Core part: </w:t>
            </w:r>
          </w:p>
          <w:p w14:paraId="5794DFF7"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xx%</w:t>
            </w:r>
          </w:p>
        </w:tc>
        <w:tc>
          <w:tcPr>
            <w:tcW w:w="2268" w:type="dxa"/>
          </w:tcPr>
          <w:p w14:paraId="0560E286" w14:textId="3F28E3E8"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P</w:t>
            </w:r>
            <w:r w:rsidRPr="00F448DE">
              <w:rPr>
                <w:rFonts w:ascii="Arial" w:hAnsi="Arial" w:cs="Arial"/>
                <w:color w:val="000000" w:themeColor="text1"/>
                <w:lang w:eastAsia="ja-JP"/>
              </w:rPr>
              <w:t xml:space="preserve">erformance Part: </w:t>
            </w:r>
            <w:r w:rsidR="00E37C7B" w:rsidRPr="00F448DE">
              <w:rPr>
                <w:rFonts w:ascii="Arial" w:hAnsi="Arial" w:cs="Arial"/>
                <w:color w:val="00B050"/>
                <w:lang w:eastAsia="ja-JP"/>
              </w:rPr>
              <w:t>100</w:t>
            </w:r>
            <w:r w:rsidRPr="00F448DE">
              <w:rPr>
                <w:rFonts w:ascii="Arial" w:hAnsi="Arial" w:cs="Arial"/>
                <w:color w:val="00B050"/>
                <w:lang w:eastAsia="ja-JP"/>
              </w:rPr>
              <w:t>%</w:t>
            </w:r>
          </w:p>
        </w:tc>
        <w:tc>
          <w:tcPr>
            <w:tcW w:w="1694" w:type="dxa"/>
            <w:gridSpan w:val="2"/>
          </w:tcPr>
          <w:p w14:paraId="70DECF59" w14:textId="77777777" w:rsidR="00871653" w:rsidRPr="009F7856" w:rsidRDefault="00871653" w:rsidP="008836AC">
            <w:pPr>
              <w:tabs>
                <w:tab w:val="left" w:pos="567"/>
              </w:tabs>
              <w:spacing w:after="0"/>
              <w:rPr>
                <w:rFonts w:ascii="Arial" w:hAnsi="Arial" w:cs="Arial"/>
                <w:color w:val="000000" w:themeColor="text1"/>
                <w:highlight w:val="yellow"/>
                <w:lang w:eastAsia="ja-JP"/>
              </w:rPr>
            </w:pPr>
            <w:r w:rsidRPr="009F7856">
              <w:rPr>
                <w:rFonts w:ascii="Arial" w:hAnsi="Arial" w:cs="Arial"/>
                <w:color w:val="000000" w:themeColor="text1"/>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D56B7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05308DF" w:rsidR="00EF4800" w:rsidRPr="00D56B73" w:rsidRDefault="00D56B73" w:rsidP="001A248F">
            <w:pPr>
              <w:tabs>
                <w:tab w:val="left" w:pos="567"/>
              </w:tabs>
              <w:spacing w:after="0"/>
              <w:rPr>
                <w:rFonts w:ascii="Arial" w:hAnsi="Arial" w:cs="Arial"/>
                <w:color w:val="000000" w:themeColor="text1"/>
              </w:rPr>
            </w:pPr>
            <w:r w:rsidRPr="00D56B73">
              <w:rPr>
                <w:rFonts w:ascii="Arial" w:hAnsi="Arial" w:cs="Arial"/>
                <w:color w:val="000000" w:themeColor="text1"/>
              </w:rPr>
              <w:t>RAN4</w:t>
            </w:r>
          </w:p>
        </w:tc>
      </w:tr>
      <w:tr w:rsidR="00D56B73" w:rsidRPr="00F448DE" w14:paraId="5EF9AD31" w14:textId="77777777" w:rsidTr="00D56B73">
        <w:tc>
          <w:tcPr>
            <w:tcW w:w="1415" w:type="dxa"/>
            <w:vMerge w:val="restart"/>
            <w:vAlign w:val="center"/>
          </w:tcPr>
          <w:p w14:paraId="589FA298" w14:textId="77777777" w:rsidR="00D56B73" w:rsidRPr="008836AC" w:rsidRDefault="00D56B73" w:rsidP="00D56B7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D56B73" w:rsidRPr="008836AC" w:rsidRDefault="00D56B73" w:rsidP="00D56B73">
            <w:pPr>
              <w:tabs>
                <w:tab w:val="left" w:pos="567"/>
              </w:tabs>
              <w:spacing w:after="0"/>
              <w:rPr>
                <w:rFonts w:ascii="Arial" w:hAnsi="Arial" w:cs="Arial"/>
                <w:b/>
              </w:rPr>
            </w:pPr>
            <w:r w:rsidRPr="008836AC">
              <w:rPr>
                <w:rFonts w:ascii="Arial" w:hAnsi="Arial" w:cs="Arial"/>
                <w:b/>
              </w:rPr>
              <w:t>Name</w:t>
            </w:r>
          </w:p>
        </w:tc>
        <w:tc>
          <w:tcPr>
            <w:tcW w:w="7336" w:type="dxa"/>
          </w:tcPr>
          <w:p w14:paraId="127CF618" w14:textId="6ABEA0D2" w:rsidR="00D56B73" w:rsidRPr="00D56B73" w:rsidRDefault="00D56B73" w:rsidP="00D56B73">
            <w:pPr>
              <w:tabs>
                <w:tab w:val="left" w:pos="567"/>
              </w:tabs>
              <w:spacing w:after="0"/>
              <w:rPr>
                <w:rFonts w:ascii="Arial" w:hAnsi="Arial" w:cs="Arial"/>
                <w:color w:val="000000" w:themeColor="text1"/>
                <w:lang w:val="sv-SE" w:eastAsia="ja-JP"/>
              </w:rPr>
            </w:pPr>
            <w:r>
              <w:rPr>
                <w:rFonts w:ascii="Arial" w:hAnsi="Arial" w:cs="Arial"/>
                <w:lang w:val="sv-SE" w:eastAsia="ja-JP"/>
              </w:rPr>
              <w:t>Wanuga, Kevin (RAN1); Uesaka, Kazuyoshi (RAN4)</w:t>
            </w:r>
          </w:p>
        </w:tc>
      </w:tr>
      <w:tr w:rsidR="00D56B73" w:rsidRPr="008836AC" w14:paraId="36040647" w14:textId="77777777" w:rsidTr="00D56B73">
        <w:tc>
          <w:tcPr>
            <w:tcW w:w="1415" w:type="dxa"/>
            <w:vMerge/>
          </w:tcPr>
          <w:p w14:paraId="2B760CAA" w14:textId="77777777" w:rsidR="00D56B73" w:rsidRPr="00D56B73" w:rsidRDefault="00D56B73" w:rsidP="00D56B73">
            <w:pPr>
              <w:tabs>
                <w:tab w:val="left" w:pos="567"/>
              </w:tabs>
              <w:rPr>
                <w:rFonts w:ascii="Arial" w:hAnsi="Arial" w:cs="Arial"/>
                <w:b/>
                <w:lang w:val="sv-SE"/>
              </w:rPr>
            </w:pPr>
          </w:p>
        </w:tc>
        <w:tc>
          <w:tcPr>
            <w:tcW w:w="1335" w:type="dxa"/>
          </w:tcPr>
          <w:p w14:paraId="6AD0A3C2" w14:textId="77777777" w:rsidR="00D56B73" w:rsidRPr="008836AC" w:rsidRDefault="00D56B73" w:rsidP="00D56B7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E2C8E01" w:rsidR="00D56B73" w:rsidRPr="00D56B73" w:rsidRDefault="00D56B73" w:rsidP="00D56B73">
            <w:pPr>
              <w:tabs>
                <w:tab w:val="left" w:pos="567"/>
              </w:tabs>
              <w:spacing w:after="0"/>
              <w:rPr>
                <w:rFonts w:ascii="Arial" w:hAnsi="Arial" w:cs="Arial"/>
                <w:color w:val="000000" w:themeColor="text1"/>
                <w:lang w:eastAsia="ja-JP"/>
              </w:rPr>
            </w:pPr>
            <w:r>
              <w:rPr>
                <w:rFonts w:ascii="Arial" w:hAnsi="Arial" w:cs="Arial"/>
                <w:lang w:eastAsia="ja-JP"/>
              </w:rPr>
              <w:t>Nokia, Ericsson</w:t>
            </w:r>
          </w:p>
        </w:tc>
      </w:tr>
      <w:tr w:rsidR="00D56B73" w:rsidRPr="008836AC" w14:paraId="588EE5C8" w14:textId="77777777" w:rsidTr="00D56B73">
        <w:tc>
          <w:tcPr>
            <w:tcW w:w="1415" w:type="dxa"/>
            <w:vMerge/>
          </w:tcPr>
          <w:p w14:paraId="5371B18D" w14:textId="77777777" w:rsidR="00D56B73" w:rsidRPr="008836AC" w:rsidRDefault="00D56B73" w:rsidP="00D56B73">
            <w:pPr>
              <w:tabs>
                <w:tab w:val="left" w:pos="567"/>
              </w:tabs>
              <w:rPr>
                <w:rFonts w:ascii="Arial" w:hAnsi="Arial" w:cs="Arial"/>
                <w:b/>
              </w:rPr>
            </w:pPr>
          </w:p>
        </w:tc>
        <w:tc>
          <w:tcPr>
            <w:tcW w:w="1335" w:type="dxa"/>
          </w:tcPr>
          <w:p w14:paraId="4BB54D4E" w14:textId="77777777" w:rsidR="00D56B73" w:rsidRPr="008836AC" w:rsidRDefault="00D56B73" w:rsidP="00D56B73">
            <w:pPr>
              <w:tabs>
                <w:tab w:val="left" w:pos="567"/>
              </w:tabs>
              <w:spacing w:after="0"/>
              <w:rPr>
                <w:rFonts w:ascii="Arial" w:hAnsi="Arial" w:cs="Arial"/>
                <w:b/>
              </w:rPr>
            </w:pPr>
            <w:r w:rsidRPr="008836AC">
              <w:rPr>
                <w:rFonts w:ascii="Arial" w:hAnsi="Arial" w:cs="Arial"/>
                <w:b/>
              </w:rPr>
              <w:t>Email</w:t>
            </w:r>
          </w:p>
        </w:tc>
        <w:tc>
          <w:tcPr>
            <w:tcW w:w="7336" w:type="dxa"/>
          </w:tcPr>
          <w:p w14:paraId="0563966F" w14:textId="7E507D8C" w:rsidR="00D56B73" w:rsidRPr="00D56B73" w:rsidRDefault="00D56B73" w:rsidP="00D56B73">
            <w:pPr>
              <w:tabs>
                <w:tab w:val="left" w:pos="567"/>
              </w:tabs>
              <w:spacing w:after="0"/>
              <w:rPr>
                <w:rFonts w:ascii="Arial" w:hAnsi="Arial" w:cs="Arial"/>
                <w:color w:val="000000" w:themeColor="text1"/>
              </w:rPr>
            </w:pPr>
            <w:r>
              <w:rPr>
                <w:rFonts w:ascii="Arial" w:hAnsi="Arial" w:cs="Arial"/>
              </w:rPr>
              <w:t>kevin (dot) wanuga (at) nokia (dot) com; kazuyoshi (dot) uesaka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3E4001" w:rsidR="00D22398" w:rsidRPr="008836AC" w:rsidRDefault="00C21339" w:rsidP="00C4666A">
            <w:pPr>
              <w:pStyle w:val="TAL"/>
              <w:jc w:val="center"/>
              <w:rPr>
                <w:color w:val="FF0000"/>
                <w:lang w:eastAsia="ja-JP"/>
              </w:rPr>
            </w:pPr>
            <w:r w:rsidRPr="00D56B7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BD2768B" w:rsidR="00701410" w:rsidRDefault="00701410" w:rsidP="00701410">
      <w:pPr>
        <w:pStyle w:val="Heading4"/>
        <w:rPr>
          <w:lang w:eastAsia="ja-JP"/>
        </w:rPr>
      </w:pPr>
      <w:r>
        <w:rPr>
          <w:lang w:eastAsia="ja-JP"/>
        </w:rPr>
        <w:t>2.4.1</w:t>
      </w:r>
      <w:r>
        <w:rPr>
          <w:lang w:eastAsia="ja-JP"/>
        </w:rPr>
        <w:tab/>
        <w:t>Agreements</w:t>
      </w:r>
    </w:p>
    <w:p w14:paraId="713D1C81" w14:textId="5AD3E60D" w:rsidR="00584586" w:rsidRDefault="00584586" w:rsidP="00584586">
      <w:pPr>
        <w:rPr>
          <w:rFonts w:ascii="Arial" w:hAnsi="Arial" w:cs="Arial"/>
          <w:lang w:val="en-US" w:eastAsia="ja-JP"/>
        </w:rPr>
      </w:pPr>
      <w:r>
        <w:rPr>
          <w:rFonts w:ascii="Arial" w:hAnsi="Arial" w:cs="Arial"/>
          <w:lang w:val="en-US" w:eastAsia="ja-JP"/>
        </w:rPr>
        <w:t xml:space="preserve">The following agreements are made on </w:t>
      </w:r>
      <w:r>
        <w:rPr>
          <w:rFonts w:ascii="Arial" w:hAnsi="Arial" w:cs="Arial"/>
          <w:u w:val="single"/>
          <w:lang w:val="en-US" w:eastAsia="ja-JP"/>
        </w:rPr>
        <w:t>RF performance part</w:t>
      </w:r>
      <w:r>
        <w:rPr>
          <w:rFonts w:ascii="Arial" w:hAnsi="Arial" w:cs="Arial"/>
          <w:lang w:val="en-US" w:eastAsia="ja-JP"/>
        </w:rPr>
        <w:t xml:space="preserve"> in RAN4#103-e (</w:t>
      </w:r>
      <w:hyperlink r:id="rId10" w:history="1">
        <w:r w:rsidRPr="00A92630">
          <w:rPr>
            <w:rStyle w:val="Hyperlink"/>
            <w:rFonts w:ascii="Arial" w:hAnsi="Arial" w:cs="Arial"/>
            <w:lang w:val="en-US" w:eastAsia="ja-JP"/>
          </w:rPr>
          <w:t>R4-2210504</w:t>
        </w:r>
      </w:hyperlink>
      <w:r>
        <w:rPr>
          <w:rFonts w:ascii="Arial" w:hAnsi="Arial" w:cs="Arial"/>
          <w:lang w:val="en-US" w:eastAsia="ja-JP"/>
        </w:rPr>
        <w:t>):</w:t>
      </w:r>
    </w:p>
    <w:p w14:paraId="390FCFCF" w14:textId="70F086F9" w:rsidR="00B264DC" w:rsidRDefault="00584586" w:rsidP="00790080">
      <w:pPr>
        <w:pStyle w:val="ListParagraph"/>
        <w:numPr>
          <w:ilvl w:val="0"/>
          <w:numId w:val="20"/>
        </w:numPr>
        <w:ind w:leftChars="0"/>
        <w:rPr>
          <w:rFonts w:ascii="Arial" w:hAnsi="Arial" w:cs="Arial"/>
          <w:sz w:val="20"/>
          <w:szCs w:val="20"/>
        </w:rPr>
      </w:pPr>
      <w:r>
        <w:rPr>
          <w:rFonts w:ascii="Arial" w:hAnsi="Arial" w:cs="Arial"/>
          <w:sz w:val="20"/>
          <w:szCs w:val="20"/>
        </w:rPr>
        <w:t xml:space="preserve">Agreed with </w:t>
      </w:r>
      <w:r w:rsidR="00E5696E">
        <w:rPr>
          <w:rFonts w:ascii="Arial" w:hAnsi="Arial" w:cs="Arial"/>
          <w:sz w:val="20"/>
          <w:szCs w:val="20"/>
        </w:rPr>
        <w:t xml:space="preserve">CR of </w:t>
      </w:r>
      <w:r>
        <w:rPr>
          <w:rFonts w:ascii="Arial" w:hAnsi="Arial" w:cs="Arial"/>
          <w:sz w:val="20"/>
          <w:szCs w:val="20"/>
        </w:rPr>
        <w:t xml:space="preserve">the </w:t>
      </w:r>
      <w:r w:rsidR="00E5696E">
        <w:rPr>
          <w:rFonts w:ascii="Arial" w:hAnsi="Arial" w:cs="Arial"/>
          <w:sz w:val="20"/>
          <w:szCs w:val="20"/>
        </w:rPr>
        <w:t>i</w:t>
      </w:r>
      <w:r w:rsidR="00E5696E" w:rsidRPr="00E5696E">
        <w:rPr>
          <w:rFonts w:ascii="Arial" w:hAnsi="Arial" w:cs="Arial"/>
          <w:sz w:val="20"/>
          <w:szCs w:val="20"/>
        </w:rPr>
        <w:t xml:space="preserve">ntroduction of RMC for </w:t>
      </w:r>
      <w:r w:rsidR="00E5696E">
        <w:rPr>
          <w:rFonts w:ascii="Arial" w:hAnsi="Arial" w:cs="Arial"/>
          <w:sz w:val="20"/>
          <w:szCs w:val="20"/>
        </w:rPr>
        <w:t xml:space="preserve">UE Rx </w:t>
      </w:r>
      <w:r w:rsidR="00E5696E" w:rsidRPr="00E5696E">
        <w:rPr>
          <w:rFonts w:ascii="Arial" w:hAnsi="Arial" w:cs="Arial"/>
          <w:sz w:val="20"/>
          <w:szCs w:val="20"/>
        </w:rPr>
        <w:t>1024QAM maximum input level</w:t>
      </w:r>
      <w:r w:rsidR="00B264DC">
        <w:rPr>
          <w:rFonts w:ascii="Arial" w:hAnsi="Arial" w:cs="Arial"/>
          <w:sz w:val="20"/>
          <w:szCs w:val="20"/>
        </w:rPr>
        <w:t xml:space="preserve"> test</w:t>
      </w:r>
    </w:p>
    <w:p w14:paraId="5676EAA7" w14:textId="1EBBFFD8" w:rsidR="00FA1ABD" w:rsidRPr="00790080" w:rsidRDefault="00FA1ABD" w:rsidP="00790080">
      <w:pPr>
        <w:pStyle w:val="ListParagraph"/>
        <w:numPr>
          <w:ilvl w:val="0"/>
          <w:numId w:val="20"/>
        </w:numPr>
        <w:ind w:leftChars="0"/>
        <w:rPr>
          <w:rFonts w:ascii="Arial" w:hAnsi="Arial" w:cs="Arial"/>
          <w:sz w:val="20"/>
          <w:szCs w:val="20"/>
        </w:rPr>
      </w:pPr>
      <w:r>
        <w:rPr>
          <w:rFonts w:ascii="Arial" w:hAnsi="Arial" w:cs="Arial"/>
          <w:sz w:val="20"/>
          <w:szCs w:val="20"/>
        </w:rPr>
        <w:t xml:space="preserve">Agreed with CRs of BS RF conformance requirements. </w:t>
      </w:r>
    </w:p>
    <w:p w14:paraId="2B97CBFF" w14:textId="77777777" w:rsidR="00584586" w:rsidRDefault="00584586" w:rsidP="00584586">
      <w:pPr>
        <w:rPr>
          <w:rFonts w:ascii="Arial" w:hAnsi="Arial" w:cs="Arial"/>
        </w:rPr>
      </w:pPr>
    </w:p>
    <w:p w14:paraId="7979B685" w14:textId="257187DF" w:rsidR="00584586" w:rsidRDefault="00584586" w:rsidP="00584586">
      <w:pPr>
        <w:rPr>
          <w:rFonts w:ascii="Arial" w:hAnsi="Arial" w:cs="Arial"/>
          <w:lang w:val="en-US" w:eastAsia="ja-JP"/>
        </w:rPr>
      </w:pPr>
      <w:r>
        <w:rPr>
          <w:rFonts w:ascii="Arial" w:hAnsi="Arial" w:cs="Arial"/>
          <w:lang w:val="en-US" w:eastAsia="ja-JP"/>
        </w:rPr>
        <w:t xml:space="preserve">The following agreements are made on </w:t>
      </w:r>
      <w:r>
        <w:rPr>
          <w:rFonts w:ascii="Arial" w:hAnsi="Arial" w:cs="Arial"/>
          <w:u w:val="single"/>
          <w:lang w:val="en-US" w:eastAsia="ja-JP"/>
        </w:rPr>
        <w:t>UE demodulation performance part</w:t>
      </w:r>
      <w:r>
        <w:rPr>
          <w:rFonts w:ascii="Arial" w:hAnsi="Arial" w:cs="Arial"/>
          <w:lang w:val="en-US" w:eastAsia="ja-JP"/>
        </w:rPr>
        <w:t xml:space="preserve"> in RAN4#103-e (</w:t>
      </w:r>
      <w:hyperlink r:id="rId11" w:history="1">
        <w:r w:rsidRPr="00A92630">
          <w:rPr>
            <w:rStyle w:val="Hyperlink"/>
            <w:rFonts w:ascii="Arial" w:hAnsi="Arial" w:cs="Arial"/>
            <w:lang w:val="en-US" w:eastAsia="ja-JP"/>
          </w:rPr>
          <w:t>R4-2210520</w:t>
        </w:r>
      </w:hyperlink>
      <w:r>
        <w:rPr>
          <w:rFonts w:ascii="Arial" w:hAnsi="Arial" w:cs="Arial"/>
          <w:lang w:val="en-US" w:eastAsia="ja-JP"/>
        </w:rPr>
        <w:t xml:space="preserve">). </w:t>
      </w:r>
    </w:p>
    <w:p w14:paraId="33F6F48C" w14:textId="74ABBBA2" w:rsidR="00790080" w:rsidRDefault="00790080" w:rsidP="00790080">
      <w:pPr>
        <w:pStyle w:val="ListParagraph"/>
        <w:numPr>
          <w:ilvl w:val="0"/>
          <w:numId w:val="22"/>
        </w:numPr>
        <w:ind w:leftChars="0"/>
        <w:rPr>
          <w:rFonts w:ascii="Arial" w:hAnsi="Arial" w:cs="Arial"/>
          <w:sz w:val="20"/>
          <w:szCs w:val="20"/>
        </w:rPr>
      </w:pPr>
      <w:r>
        <w:rPr>
          <w:rFonts w:ascii="Arial" w:hAnsi="Arial" w:cs="Arial"/>
          <w:sz w:val="20"/>
          <w:szCs w:val="20"/>
        </w:rPr>
        <w:t>SDR tests</w:t>
      </w:r>
    </w:p>
    <w:p w14:paraId="2F764BE8" w14:textId="77777777" w:rsidR="004748CB" w:rsidRPr="004748CB" w:rsidRDefault="004748CB" w:rsidP="004748CB">
      <w:pPr>
        <w:pStyle w:val="ListParagraph"/>
        <w:numPr>
          <w:ilvl w:val="1"/>
          <w:numId w:val="22"/>
        </w:numPr>
        <w:ind w:leftChars="0"/>
        <w:rPr>
          <w:rFonts w:ascii="Arial" w:hAnsi="Arial" w:cs="Arial"/>
          <w:sz w:val="20"/>
          <w:szCs w:val="20"/>
        </w:rPr>
      </w:pPr>
      <w:r w:rsidRPr="004748CB">
        <w:rPr>
          <w:rFonts w:ascii="Arial" w:hAnsi="Arial" w:cs="Arial"/>
          <w:sz w:val="20"/>
          <w:szCs w:val="20"/>
        </w:rPr>
        <w:t>For Rank 2 with 2RX, reuse the existing SDR requirements for 2 MIMO layers with 256QAM for 1024QAM with 2RX.</w:t>
      </w:r>
    </w:p>
    <w:p w14:paraId="7B4A25B7" w14:textId="684ABFF9" w:rsidR="00790080" w:rsidRDefault="004748CB" w:rsidP="004748CB">
      <w:pPr>
        <w:pStyle w:val="ListParagraph"/>
        <w:numPr>
          <w:ilvl w:val="2"/>
          <w:numId w:val="22"/>
        </w:numPr>
        <w:ind w:leftChars="0"/>
        <w:rPr>
          <w:rFonts w:ascii="Arial" w:hAnsi="Arial" w:cs="Arial"/>
          <w:sz w:val="20"/>
          <w:szCs w:val="20"/>
        </w:rPr>
      </w:pPr>
      <w:r w:rsidRPr="004748CB">
        <w:rPr>
          <w:rFonts w:ascii="Arial" w:hAnsi="Arial" w:cs="Arial"/>
          <w:sz w:val="20"/>
          <w:szCs w:val="20"/>
        </w:rPr>
        <w:t>Add a note for 1024QAM MCS table for 2RX UE as: For the band(s) on which UE supporting “Maximum modulation format” of 10, with 2 RX and 2 MIMO layers, the MCS index is derived from the rows with “Maximum modulation format” of 8 in Table 5.5A-5</w:t>
      </w:r>
    </w:p>
    <w:p w14:paraId="23EF383A" w14:textId="46CD7CAB" w:rsidR="00790080" w:rsidRDefault="00790080" w:rsidP="00790080">
      <w:pPr>
        <w:pStyle w:val="ListParagraph"/>
        <w:numPr>
          <w:ilvl w:val="0"/>
          <w:numId w:val="22"/>
        </w:numPr>
        <w:ind w:leftChars="0"/>
        <w:rPr>
          <w:rFonts w:ascii="Arial" w:hAnsi="Arial" w:cs="Arial"/>
          <w:sz w:val="20"/>
          <w:szCs w:val="20"/>
        </w:rPr>
      </w:pPr>
      <w:r>
        <w:rPr>
          <w:rFonts w:ascii="Arial" w:hAnsi="Arial" w:cs="Arial"/>
          <w:sz w:val="20"/>
          <w:szCs w:val="20"/>
        </w:rPr>
        <w:t>CQI reporting tests</w:t>
      </w:r>
    </w:p>
    <w:p w14:paraId="611F9243" w14:textId="77777777" w:rsidR="004748CB" w:rsidRPr="004748CB" w:rsidRDefault="004748CB" w:rsidP="004748CB">
      <w:pPr>
        <w:pStyle w:val="ListParagraph"/>
        <w:numPr>
          <w:ilvl w:val="1"/>
          <w:numId w:val="22"/>
        </w:numPr>
        <w:ind w:leftChars="0"/>
        <w:rPr>
          <w:rFonts w:ascii="Arial" w:hAnsi="Arial" w:cs="Arial"/>
          <w:sz w:val="20"/>
          <w:szCs w:val="20"/>
        </w:rPr>
      </w:pPr>
      <w:r w:rsidRPr="004748CB">
        <w:rPr>
          <w:rFonts w:ascii="Arial" w:hAnsi="Arial" w:cs="Arial"/>
          <w:sz w:val="20"/>
          <w:szCs w:val="20"/>
        </w:rPr>
        <w:t xml:space="preserve">Set the SNR test points as follows </w:t>
      </w:r>
    </w:p>
    <w:p w14:paraId="133AF872" w14:textId="77777777" w:rsidR="004748CB" w:rsidRPr="004748CB" w:rsidRDefault="004748CB" w:rsidP="004748CB">
      <w:pPr>
        <w:pStyle w:val="ListParagraph"/>
        <w:numPr>
          <w:ilvl w:val="2"/>
          <w:numId w:val="22"/>
        </w:numPr>
        <w:ind w:leftChars="0"/>
        <w:rPr>
          <w:rFonts w:ascii="Arial" w:hAnsi="Arial" w:cs="Arial"/>
          <w:sz w:val="20"/>
          <w:szCs w:val="20"/>
        </w:rPr>
      </w:pPr>
      <w:r w:rsidRPr="004748CB">
        <w:rPr>
          <w:rFonts w:ascii="Arial" w:hAnsi="Arial" w:cs="Arial"/>
          <w:sz w:val="20"/>
          <w:szCs w:val="20"/>
        </w:rPr>
        <w:t>2Rx UE: SNR = [28/29] dB</w:t>
      </w:r>
    </w:p>
    <w:p w14:paraId="54348762" w14:textId="07D120AA" w:rsidR="00790080" w:rsidRDefault="004748CB" w:rsidP="004748CB">
      <w:pPr>
        <w:pStyle w:val="ListParagraph"/>
        <w:numPr>
          <w:ilvl w:val="2"/>
          <w:numId w:val="22"/>
        </w:numPr>
        <w:ind w:leftChars="0"/>
        <w:rPr>
          <w:rFonts w:ascii="Arial" w:hAnsi="Arial" w:cs="Arial"/>
          <w:sz w:val="20"/>
          <w:szCs w:val="20"/>
        </w:rPr>
      </w:pPr>
      <w:r w:rsidRPr="004748CB">
        <w:rPr>
          <w:rFonts w:ascii="Arial" w:hAnsi="Arial" w:cs="Arial"/>
          <w:sz w:val="20"/>
          <w:szCs w:val="20"/>
        </w:rPr>
        <w:t>4Rx UE: SNR = [25/26] dB</w:t>
      </w:r>
    </w:p>
    <w:p w14:paraId="7CDECA88" w14:textId="3C415C0F" w:rsidR="004F6481" w:rsidRPr="004748CB" w:rsidRDefault="004F6481" w:rsidP="004F6481">
      <w:pPr>
        <w:pStyle w:val="ListParagraph"/>
        <w:numPr>
          <w:ilvl w:val="0"/>
          <w:numId w:val="22"/>
        </w:numPr>
        <w:ind w:leftChars="0"/>
        <w:rPr>
          <w:rFonts w:ascii="Arial" w:hAnsi="Arial" w:cs="Arial"/>
          <w:sz w:val="20"/>
          <w:szCs w:val="20"/>
        </w:rPr>
      </w:pPr>
      <w:r>
        <w:rPr>
          <w:rFonts w:ascii="Arial" w:hAnsi="Arial" w:cs="Arial"/>
          <w:sz w:val="20"/>
          <w:szCs w:val="20"/>
        </w:rPr>
        <w:t xml:space="preserve">Agree with the draft CRs of UE demodulation and CSI reporting requirements. </w:t>
      </w:r>
    </w:p>
    <w:p w14:paraId="341A93D4" w14:textId="77777777" w:rsidR="00584586" w:rsidRPr="00584586" w:rsidRDefault="00584586" w:rsidP="00584586">
      <w:pPr>
        <w:rPr>
          <w:lang w:val="en-US" w:eastAsia="ja-JP"/>
        </w:rPr>
      </w:pPr>
    </w:p>
    <w:p w14:paraId="37D259DA" w14:textId="5BF4FE99" w:rsidR="00701410" w:rsidRDefault="00701410" w:rsidP="00701410">
      <w:pPr>
        <w:pStyle w:val="Heading4"/>
        <w:rPr>
          <w:lang w:eastAsia="ja-JP"/>
        </w:rPr>
      </w:pPr>
      <w:r>
        <w:rPr>
          <w:lang w:eastAsia="ja-JP"/>
        </w:rPr>
        <w:t>2.4.2</w:t>
      </w:r>
      <w:r>
        <w:rPr>
          <w:lang w:eastAsia="ja-JP"/>
        </w:rPr>
        <w:tab/>
        <w:t>Remaining Open issues</w:t>
      </w:r>
    </w:p>
    <w:p w14:paraId="43BCDDE5" w14:textId="6D36B008" w:rsidR="00426C8F" w:rsidRPr="00584586" w:rsidRDefault="008B40F2" w:rsidP="00426C8F">
      <w:pPr>
        <w:rPr>
          <w:lang w:val="en-US" w:eastAsia="ja-JP"/>
        </w:rPr>
      </w:pPr>
      <w:r>
        <w:rPr>
          <w:lang w:val="en-US" w:eastAsia="ja-JP"/>
        </w:rPr>
        <w:t>None</w:t>
      </w:r>
    </w:p>
    <w:p w14:paraId="0EFE4CD6" w14:textId="77777777" w:rsidR="00426C8F" w:rsidRPr="00584586" w:rsidRDefault="00426C8F" w:rsidP="00EF4DCA">
      <w:pPr>
        <w:rPr>
          <w:lang w:val="en-US" w:eastAsia="ja-JP"/>
        </w:rPr>
      </w:pPr>
    </w:p>
    <w:p w14:paraId="60D80F5E" w14:textId="73CCE5BD" w:rsidR="00584586" w:rsidRPr="00EF4DCA" w:rsidRDefault="00584586" w:rsidP="00EF4DCA">
      <w:pPr>
        <w:rPr>
          <w:lang w:val="en-US"/>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304D0CDD" w14:textId="07EF5A77" w:rsidR="00D56B73" w:rsidRDefault="00D56B73" w:rsidP="00D56B73">
      <w:pPr>
        <w:overflowPunct/>
        <w:autoSpaceDE/>
        <w:snapToGrid w:val="0"/>
        <w:spacing w:after="0"/>
        <w:rPr>
          <w:rFonts w:ascii="Arial" w:hAnsi="Arial" w:cs="Arial"/>
          <w:u w:val="single"/>
          <w:lang w:eastAsia="ja-JP"/>
        </w:rPr>
      </w:pPr>
      <w:r>
        <w:rPr>
          <w:rFonts w:ascii="Arial" w:hAnsi="Arial" w:cs="Arial"/>
          <w:u w:val="single"/>
          <w:lang w:eastAsia="ja-JP"/>
        </w:rPr>
        <w:t>RAN4#103-e</w:t>
      </w:r>
    </w:p>
    <w:p w14:paraId="0115834D" w14:textId="046E37F0" w:rsidR="003E3A1A" w:rsidRPr="006C5A91" w:rsidRDefault="003E3A1A" w:rsidP="003E3A1A">
      <w:pPr>
        <w:overflowPunct/>
        <w:autoSpaceDE/>
        <w:autoSpaceDN/>
        <w:snapToGrid w:val="0"/>
        <w:spacing w:after="0"/>
        <w:textAlignment w:val="auto"/>
        <w:rPr>
          <w:rFonts w:ascii="Arial" w:hAnsi="Arial" w:cs="Arial"/>
          <w:lang w:eastAsia="ja-JP"/>
        </w:rPr>
      </w:pPr>
    </w:p>
    <w:p w14:paraId="4A6384B8" w14:textId="0B7F5469"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R4-2209063</w:t>
      </w:r>
      <w:r w:rsidRPr="006C5A91">
        <w:rPr>
          <w:rFonts w:ascii="Arial" w:hAnsi="Arial" w:cs="Arial"/>
          <w:lang w:val="en-US" w:eastAsia="ja-JP"/>
        </w:rPr>
        <w:tab/>
        <w:t>"CR: Introduction of RMC for 1024QAM maximum input level", Ericsson.</w:t>
      </w:r>
    </w:p>
    <w:p w14:paraId="66E7646D"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R4-2208790</w:t>
      </w:r>
      <w:r w:rsidRPr="006C5A91">
        <w:rPr>
          <w:rFonts w:ascii="Arial" w:hAnsi="Arial" w:cs="Arial"/>
          <w:lang w:val="en-US" w:eastAsia="ja-JP"/>
        </w:rPr>
        <w:tab/>
        <w:t>"Discussion on BS RF conformance requirements for 1024QAM in FR1", NEC.</w:t>
      </w:r>
    </w:p>
    <w:p w14:paraId="5604A4C7"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R4-2208791</w:t>
      </w:r>
      <w:r w:rsidRPr="006C5A91">
        <w:rPr>
          <w:rFonts w:ascii="Arial" w:hAnsi="Arial" w:cs="Arial"/>
          <w:lang w:val="en-US" w:eastAsia="ja-JP"/>
        </w:rPr>
        <w:tab/>
        <w:t>"CR to 38.141-1: BS RF conformance requirements for 1024QAM in FR1", NEC.</w:t>
      </w:r>
    </w:p>
    <w:p w14:paraId="0B3257D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R4-2208792</w:t>
      </w:r>
      <w:r w:rsidRPr="006C5A91">
        <w:rPr>
          <w:rFonts w:ascii="Arial" w:hAnsi="Arial" w:cs="Arial"/>
          <w:lang w:val="en-US" w:eastAsia="ja-JP"/>
        </w:rPr>
        <w:tab/>
        <w:t>"CR to 38.141-2: BS RF conformance requirements for 1024QAM in FR1", NEC.</w:t>
      </w:r>
    </w:p>
    <w:p w14:paraId="255F8129"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R4-2208793</w:t>
      </w:r>
      <w:r w:rsidRPr="006C5A91">
        <w:rPr>
          <w:rFonts w:ascii="Arial" w:hAnsi="Arial" w:cs="Arial"/>
          <w:lang w:val="en-US" w:eastAsia="ja-JP"/>
        </w:rPr>
        <w:tab/>
        <w:t>"CR to 37.141: BS RF conformance requirements for 1024QAM in FR1", NEC.</w:t>
      </w:r>
    </w:p>
    <w:p w14:paraId="5BEAB704"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R4-2208794</w:t>
      </w:r>
      <w:r w:rsidRPr="006C5A91">
        <w:rPr>
          <w:rFonts w:ascii="Arial" w:hAnsi="Arial" w:cs="Arial"/>
          <w:lang w:val="en-US" w:eastAsia="ja-JP"/>
        </w:rPr>
        <w:tab/>
        <w:t>"CR to 37.145-1: BS RF conformance requirements for 1024QAM in FR1", NEC.</w:t>
      </w:r>
    </w:p>
    <w:p w14:paraId="567C0C56"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R4-2208795</w:t>
      </w:r>
      <w:r w:rsidRPr="006C5A91">
        <w:rPr>
          <w:rFonts w:ascii="Arial" w:hAnsi="Arial" w:cs="Arial"/>
          <w:lang w:val="en-US" w:eastAsia="ja-JP"/>
        </w:rPr>
        <w:tab/>
        <w:t>"CR to 37.145-2: BS RF conformance requirements for 1024QAM in FR1", NEC.</w:t>
      </w:r>
    </w:p>
    <w:p w14:paraId="6FF2310E"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R4-2209138</w:t>
      </w:r>
      <w:r w:rsidRPr="006C5A91">
        <w:rPr>
          <w:rFonts w:ascii="Arial" w:hAnsi="Arial" w:cs="Arial"/>
          <w:lang w:val="en-US" w:eastAsia="ja-JP"/>
        </w:rPr>
        <w:tab/>
        <w:t>"CR to TS 38.141-2: Introduction of 1024 QAM in FR1", Ericsson.</w:t>
      </w:r>
    </w:p>
    <w:p w14:paraId="6F1E1C86" w14:textId="5D867AA6"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R4-2210700</w:t>
      </w:r>
      <w:r w:rsidRPr="006C5A91">
        <w:rPr>
          <w:rFonts w:ascii="Arial" w:hAnsi="Arial" w:cs="Arial"/>
          <w:lang w:val="en-US" w:eastAsia="ja-JP"/>
        </w:rPr>
        <w:tab/>
        <w:t>"CR to TS 38.141-2: Introduction of 1024 QAM in FR1", Ericsson.</w:t>
      </w:r>
    </w:p>
    <w:p w14:paraId="713921A2"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R4-2207794</w:t>
      </w:r>
      <w:r w:rsidRPr="006C5A91">
        <w:rPr>
          <w:rFonts w:ascii="Arial" w:hAnsi="Arial" w:cs="Arial"/>
          <w:lang w:val="en-US" w:eastAsia="ja-JP"/>
        </w:rPr>
        <w:tab/>
        <w:t>"Simulation results for PDSCH demod requirements with 1KQAM", Apple.</w:t>
      </w:r>
    </w:p>
    <w:p w14:paraId="37CC45DA"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R4-2207795</w:t>
      </w:r>
      <w:r w:rsidRPr="006C5A91">
        <w:rPr>
          <w:rFonts w:ascii="Arial" w:hAnsi="Arial" w:cs="Arial"/>
          <w:lang w:val="en-US" w:eastAsia="ja-JP"/>
        </w:rPr>
        <w:tab/>
        <w:t>"Draft CR for PDSCH demodulation requirements for 1KQAM in TDD", Apple.</w:t>
      </w:r>
    </w:p>
    <w:p w14:paraId="32A09BBB"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R4-2209064</w:t>
      </w:r>
      <w:r w:rsidRPr="006C5A91">
        <w:rPr>
          <w:rFonts w:ascii="Arial" w:hAnsi="Arial" w:cs="Arial"/>
          <w:lang w:val="en-US" w:eastAsia="ja-JP"/>
        </w:rPr>
        <w:tab/>
        <w:t>"Summary of PDSCH simulation results for DL 1024QAM in FR1", Ericsson.</w:t>
      </w:r>
    </w:p>
    <w:p w14:paraId="56831F1D"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R4-2209065</w:t>
      </w:r>
      <w:r w:rsidRPr="006C5A91">
        <w:rPr>
          <w:rFonts w:ascii="Arial" w:hAnsi="Arial" w:cs="Arial"/>
          <w:lang w:val="en-US" w:eastAsia="ja-JP"/>
        </w:rPr>
        <w:tab/>
        <w:t>"UE demodulation requirements for DL 1024QAM", Ericsson.</w:t>
      </w:r>
    </w:p>
    <w:p w14:paraId="7F4D6EA1"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R4-2209175</w:t>
      </w:r>
      <w:r w:rsidRPr="006C5A91">
        <w:rPr>
          <w:rFonts w:ascii="Arial" w:hAnsi="Arial" w:cs="Arial"/>
          <w:lang w:val="en-US" w:eastAsia="ja-JP"/>
        </w:rPr>
        <w:tab/>
        <w:t>"PDSCH Simulation results for 1024QAM FR1 UE Demod Tests", Qualcomm Incorporated.</w:t>
      </w:r>
    </w:p>
    <w:p w14:paraId="589A012F"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R4-2209376</w:t>
      </w:r>
      <w:r w:rsidRPr="006C5A91">
        <w:rPr>
          <w:rFonts w:ascii="Arial" w:hAnsi="Arial" w:cs="Arial"/>
          <w:lang w:val="en-US" w:eastAsia="ja-JP"/>
        </w:rPr>
        <w:tab/>
        <w:t>"Draft CR on Applicability Rules and TDLD30-5 delay profile for FR1 DL 1024QAM PDSCH Requirements", Qualcomm Incorporated.</w:t>
      </w:r>
    </w:p>
    <w:p w14:paraId="272C5B17" w14:textId="352438F8"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R4-2209801</w:t>
      </w:r>
      <w:r w:rsidRPr="006C5A91">
        <w:rPr>
          <w:rFonts w:ascii="Arial" w:hAnsi="Arial" w:cs="Arial"/>
          <w:lang w:val="en-US" w:eastAsia="ja-JP"/>
        </w:rPr>
        <w:tab/>
        <w:t>"Simulation results and discussion on the PDSCH requirements for 1024QAM", MediaTek inc.</w:t>
      </w:r>
    </w:p>
    <w:p w14:paraId="6BAF5439" w14:textId="49AA4AD9"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R4-2209803</w:t>
      </w:r>
      <w:r w:rsidRPr="006C5A91">
        <w:rPr>
          <w:rFonts w:ascii="Arial" w:hAnsi="Arial" w:cs="Arial"/>
          <w:lang w:val="en-US" w:eastAsia="ja-JP"/>
        </w:rPr>
        <w:tab/>
        <w:t>"Draft CR to TS38.101-4, PDSCH requirements for 1024QAM in FR1 FDD", MediaTek inc.</w:t>
      </w:r>
    </w:p>
    <w:p w14:paraId="403F0ADD" w14:textId="74C498BB"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R4-2209871</w:t>
      </w:r>
      <w:r w:rsidRPr="006C5A91">
        <w:rPr>
          <w:rFonts w:ascii="Arial" w:hAnsi="Arial" w:cs="Arial"/>
          <w:lang w:val="en-US" w:eastAsia="ja-JP"/>
        </w:rPr>
        <w:tab/>
        <w:t>"Simulation results on 1024QAM PDSCH", Huawei</w:t>
      </w:r>
      <w:r>
        <w:rPr>
          <w:rFonts w:ascii="Arial" w:hAnsi="Arial" w:cs="Arial"/>
          <w:lang w:val="en-US" w:eastAsia="ja-JP"/>
        </w:rPr>
        <w:t>,</w:t>
      </w:r>
      <w:r w:rsidRPr="006C5A91">
        <w:rPr>
          <w:rFonts w:ascii="Arial" w:hAnsi="Arial" w:cs="Arial"/>
          <w:lang w:val="en-US" w:eastAsia="ja-JP"/>
        </w:rPr>
        <w:t xml:space="preserve"> HiSilicon.</w:t>
      </w:r>
    </w:p>
    <w:p w14:paraId="4D90996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R4-2210323</w:t>
      </w:r>
      <w:r w:rsidRPr="006C5A91">
        <w:rPr>
          <w:rFonts w:ascii="Arial" w:hAnsi="Arial" w:cs="Arial"/>
          <w:lang w:val="en-US" w:eastAsia="ja-JP"/>
        </w:rPr>
        <w:tab/>
        <w:t>"Email discussion summary for [103-e][317] NR_DL1024QAM_Demod", Moderator (Ericsson).</w:t>
      </w:r>
    </w:p>
    <w:p w14:paraId="3F58D097"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R4-2210520</w:t>
      </w:r>
      <w:r w:rsidRPr="006C5A91">
        <w:rPr>
          <w:rFonts w:ascii="Arial" w:hAnsi="Arial" w:cs="Arial"/>
          <w:lang w:val="en-US" w:eastAsia="ja-JP"/>
        </w:rPr>
        <w:tab/>
        <w:t>"Email discussion summary for [103-e][317] NR_DL1024QAM_Demod", Moderator (Ericsson).</w:t>
      </w:r>
    </w:p>
    <w:p w14:paraId="4D470D17"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R4-2210651</w:t>
      </w:r>
      <w:r w:rsidRPr="006C5A91">
        <w:rPr>
          <w:rFonts w:ascii="Arial" w:hAnsi="Arial" w:cs="Arial"/>
          <w:lang w:val="en-US" w:eastAsia="ja-JP"/>
        </w:rPr>
        <w:tab/>
        <w:t>"WF on DL1024QAM UE demodulation requirement", Ericsson.</w:t>
      </w:r>
    </w:p>
    <w:p w14:paraId="39CE1C33"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R4-2210652</w:t>
      </w:r>
      <w:r w:rsidRPr="006C5A91">
        <w:rPr>
          <w:rFonts w:ascii="Arial" w:hAnsi="Arial" w:cs="Arial"/>
          <w:lang w:val="en-US" w:eastAsia="ja-JP"/>
        </w:rPr>
        <w:tab/>
        <w:t>"Big CR to 38.101-4: Introduction of FR1 1024QAM UE demodulation and CQI reporting requirements", Ericsson.</w:t>
      </w:r>
    </w:p>
    <w:p w14:paraId="331C9922"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R4-2210897</w:t>
      </w:r>
      <w:r w:rsidRPr="006C5A91">
        <w:rPr>
          <w:rFonts w:ascii="Arial" w:hAnsi="Arial" w:cs="Arial"/>
          <w:lang w:val="en-US" w:eastAsia="ja-JP"/>
        </w:rPr>
        <w:tab/>
        <w:t>"Draft CR for PDSCH demodulation requirements for 1KQAM in TDD", Apple.</w:t>
      </w:r>
    </w:p>
    <w:p w14:paraId="6B2B879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lastRenderedPageBreak/>
        <w:t>R4-2210898</w:t>
      </w:r>
      <w:r w:rsidRPr="006C5A91">
        <w:rPr>
          <w:rFonts w:ascii="Arial" w:hAnsi="Arial" w:cs="Arial"/>
          <w:lang w:val="en-US" w:eastAsia="ja-JP"/>
        </w:rPr>
        <w:tab/>
        <w:t>"Draft CR on Applicability Rules and TDLD30-5 delay profile for FR1 DL 1024QAM PDSCH Requirements", Qualcomm Incorporated.</w:t>
      </w:r>
    </w:p>
    <w:p w14:paraId="7FFC93D3" w14:textId="0B1C0FF8"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R4-2210899</w:t>
      </w:r>
      <w:r w:rsidRPr="006C5A91">
        <w:rPr>
          <w:rFonts w:ascii="Arial" w:hAnsi="Arial" w:cs="Arial"/>
          <w:lang w:val="en-US" w:eastAsia="ja-JP"/>
        </w:rPr>
        <w:tab/>
        <w:t>"Draft CR to TS38.101-4, PDSCH requirements for 1024QAM in FR1 FDD", MediaTek inc.</w:t>
      </w:r>
    </w:p>
    <w:p w14:paraId="39889884"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R4-2207796</w:t>
      </w:r>
      <w:r w:rsidRPr="006C5A91">
        <w:rPr>
          <w:rFonts w:ascii="Arial" w:hAnsi="Arial" w:cs="Arial"/>
          <w:lang w:val="en-US" w:eastAsia="ja-JP"/>
        </w:rPr>
        <w:tab/>
        <w:t>"Discussion on SDR requirements with 1KQAM", Apple.</w:t>
      </w:r>
    </w:p>
    <w:p w14:paraId="484FE34F"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R4-2209067</w:t>
      </w:r>
      <w:r w:rsidRPr="006C5A91">
        <w:rPr>
          <w:rFonts w:ascii="Arial" w:hAnsi="Arial" w:cs="Arial"/>
          <w:lang w:val="en-US" w:eastAsia="ja-JP"/>
        </w:rPr>
        <w:tab/>
        <w:t>"draft CR: Introduction of SDR requirements for DL 1024QAM", Ericsson.</w:t>
      </w:r>
    </w:p>
    <w:p w14:paraId="3BD021FE"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R4-2210900</w:t>
      </w:r>
      <w:r w:rsidRPr="006C5A91">
        <w:rPr>
          <w:rFonts w:ascii="Arial" w:hAnsi="Arial" w:cs="Arial"/>
          <w:lang w:val="en-US" w:eastAsia="ja-JP"/>
        </w:rPr>
        <w:tab/>
        <w:t>"draft CR: Introduction of SDR requirements for DL 1024QAM", Ericsson.</w:t>
      </w:r>
    </w:p>
    <w:p w14:paraId="4B0FDE51"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R4-2209066</w:t>
      </w:r>
      <w:r w:rsidRPr="006C5A91">
        <w:rPr>
          <w:rFonts w:ascii="Arial" w:hAnsi="Arial" w:cs="Arial"/>
          <w:lang w:val="en-US" w:eastAsia="ja-JP"/>
        </w:rPr>
        <w:tab/>
        <w:t>"CQI reporting requirements for DL 1024QAM", Ericsson.</w:t>
      </w:r>
    </w:p>
    <w:p w14:paraId="3AD0A24B"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R4-2209068</w:t>
      </w:r>
      <w:r w:rsidRPr="006C5A91">
        <w:rPr>
          <w:rFonts w:ascii="Arial" w:hAnsi="Arial" w:cs="Arial"/>
          <w:lang w:val="en-US" w:eastAsia="ja-JP"/>
        </w:rPr>
        <w:tab/>
        <w:t>"draft CR: Introduction of TDD CQI reporting requirements for DL 1024QAM", Ericsson.</w:t>
      </w:r>
    </w:p>
    <w:p w14:paraId="70EEDB0E"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R4-2209176</w:t>
      </w:r>
      <w:r w:rsidRPr="006C5A91">
        <w:rPr>
          <w:rFonts w:ascii="Arial" w:hAnsi="Arial" w:cs="Arial"/>
          <w:lang w:val="en-US" w:eastAsia="ja-JP"/>
        </w:rPr>
        <w:tab/>
        <w:t>"CQI requirements for 1024QAM FR1 UE Demod Tests", Qualcomm Incorporated.</w:t>
      </w:r>
    </w:p>
    <w:p w14:paraId="165690B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R4-2209430</w:t>
      </w:r>
      <w:r w:rsidRPr="006C5A91">
        <w:rPr>
          <w:rFonts w:ascii="Arial" w:hAnsi="Arial" w:cs="Arial"/>
          <w:lang w:val="en-US" w:eastAsia="ja-JP"/>
        </w:rPr>
        <w:tab/>
        <w:t>"Draft CR on Applicability Rules for FR1 DL 1024QAM CQI Requirements", Qualcomm Incorporated.</w:t>
      </w:r>
    </w:p>
    <w:p w14:paraId="11F9794C" w14:textId="51C3B37C"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R4-2209802</w:t>
      </w:r>
      <w:r w:rsidRPr="006C5A91">
        <w:rPr>
          <w:rFonts w:ascii="Arial" w:hAnsi="Arial" w:cs="Arial"/>
          <w:lang w:val="en-US" w:eastAsia="ja-JP"/>
        </w:rPr>
        <w:tab/>
        <w:t>"Simulation results and discussion on the CQI requirements for 1024QAM", MediaTek inc.</w:t>
      </w:r>
    </w:p>
    <w:p w14:paraId="2AAF056B" w14:textId="234C6763"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R4-2209872</w:t>
      </w:r>
      <w:r w:rsidRPr="006C5A91">
        <w:rPr>
          <w:rFonts w:ascii="Arial" w:hAnsi="Arial" w:cs="Arial"/>
          <w:lang w:val="en-US" w:eastAsia="ja-JP"/>
        </w:rPr>
        <w:tab/>
        <w:t>"Discussion and simulation results on 1024QAM CQI", Huawei</w:t>
      </w:r>
      <w:r>
        <w:rPr>
          <w:rFonts w:ascii="Arial" w:hAnsi="Arial" w:cs="Arial"/>
          <w:lang w:val="en-US" w:eastAsia="ja-JP"/>
        </w:rPr>
        <w:t xml:space="preserve">, </w:t>
      </w:r>
      <w:r w:rsidRPr="006C5A91">
        <w:rPr>
          <w:rFonts w:ascii="Arial" w:hAnsi="Arial" w:cs="Arial"/>
          <w:lang w:val="en-US" w:eastAsia="ja-JP"/>
        </w:rPr>
        <w:t>HiSilicon.</w:t>
      </w:r>
    </w:p>
    <w:p w14:paraId="176FA52D" w14:textId="02DE2054"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R4-2209873</w:t>
      </w:r>
      <w:r w:rsidRPr="006C5A91">
        <w:rPr>
          <w:rFonts w:ascii="Arial" w:hAnsi="Arial" w:cs="Arial"/>
          <w:lang w:val="en-US" w:eastAsia="ja-JP"/>
        </w:rPr>
        <w:tab/>
        <w:t>"Draft CR on FDD CQI reporting cases for 1024QAM and CSI RMC (TS38.101-4, Rel-17)", Huawei</w:t>
      </w:r>
      <w:r>
        <w:rPr>
          <w:rFonts w:ascii="Arial" w:hAnsi="Arial" w:cs="Arial"/>
          <w:lang w:val="en-US" w:eastAsia="ja-JP"/>
        </w:rPr>
        <w:t>,</w:t>
      </w:r>
      <w:r w:rsidRPr="006C5A91">
        <w:rPr>
          <w:rFonts w:ascii="Arial" w:hAnsi="Arial" w:cs="Arial"/>
          <w:lang w:val="en-US" w:eastAsia="ja-JP"/>
        </w:rPr>
        <w:t xml:space="preserve"> HiSilicon.</w:t>
      </w:r>
    </w:p>
    <w:p w14:paraId="312077E1"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R4-2210901</w:t>
      </w:r>
      <w:r w:rsidRPr="006C5A91">
        <w:rPr>
          <w:rFonts w:ascii="Arial" w:hAnsi="Arial" w:cs="Arial"/>
          <w:lang w:val="en-US" w:eastAsia="ja-JP"/>
        </w:rPr>
        <w:tab/>
        <w:t>"draft CR: Introduction of TDD CQI reporting requirements for DL 1024QAM", Ericsson.</w:t>
      </w:r>
    </w:p>
    <w:p w14:paraId="45A3C5FC"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R4-2210902</w:t>
      </w:r>
      <w:r w:rsidRPr="006C5A91">
        <w:rPr>
          <w:rFonts w:ascii="Arial" w:hAnsi="Arial" w:cs="Arial"/>
          <w:lang w:val="en-US" w:eastAsia="ja-JP"/>
        </w:rPr>
        <w:tab/>
        <w:t>"Draft CR on Applicability Rules for FR1 DL 1024QAM CQI Requirements", Qualcomm Incorporated.</w:t>
      </w:r>
    </w:p>
    <w:p w14:paraId="1364A837" w14:textId="542DF0B4" w:rsidR="00D56B73"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R4-2210903</w:t>
      </w:r>
      <w:r w:rsidRPr="006C5A91">
        <w:rPr>
          <w:rFonts w:ascii="Arial" w:hAnsi="Arial" w:cs="Arial"/>
          <w:lang w:val="en-US" w:eastAsia="ja-JP"/>
        </w:rPr>
        <w:tab/>
        <w:t>"Draft CR on FDD CQI reporting cases for 1024QAM and CSI RMC (TS38.101-4, Rel-17)", Huawei</w:t>
      </w:r>
      <w:r>
        <w:rPr>
          <w:rFonts w:ascii="Arial" w:hAnsi="Arial" w:cs="Arial"/>
          <w:lang w:val="en-US" w:eastAsia="ja-JP"/>
        </w:rPr>
        <w:t>,</w:t>
      </w:r>
      <w:r w:rsidRPr="006C5A91">
        <w:rPr>
          <w:rFonts w:ascii="Arial" w:hAnsi="Arial" w:cs="Arial"/>
          <w:lang w:val="en-US" w:eastAsia="ja-JP"/>
        </w:rPr>
        <w:t xml:space="preserve"> HiSilicon.</w:t>
      </w:r>
    </w:p>
    <w:p w14:paraId="315AD1E7" w14:textId="77777777" w:rsidR="00701410" w:rsidRPr="006C5A91"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A53D" w14:textId="77777777" w:rsidR="00DE0236" w:rsidRDefault="00DE0236">
      <w:r>
        <w:separator/>
      </w:r>
    </w:p>
  </w:endnote>
  <w:endnote w:type="continuationSeparator" w:id="0">
    <w:p w14:paraId="558A5A24" w14:textId="77777777" w:rsidR="00DE0236" w:rsidRDefault="00DE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586AB" w14:textId="77777777" w:rsidR="00DE0236" w:rsidRDefault="00DE0236">
      <w:r>
        <w:separator/>
      </w:r>
    </w:p>
  </w:footnote>
  <w:footnote w:type="continuationSeparator" w:id="0">
    <w:p w14:paraId="3017366B" w14:textId="77777777" w:rsidR="00DE0236" w:rsidRDefault="00DE0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605CA9"/>
    <w:multiLevelType w:val="hybridMultilevel"/>
    <w:tmpl w:val="5E2C5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B6C5E"/>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15E2"/>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6C8F"/>
    <w:rsid w:val="004531C9"/>
    <w:rsid w:val="00457D91"/>
    <w:rsid w:val="00460C31"/>
    <w:rsid w:val="00464E5B"/>
    <w:rsid w:val="0047055A"/>
    <w:rsid w:val="00474450"/>
    <w:rsid w:val="004748CB"/>
    <w:rsid w:val="004873E6"/>
    <w:rsid w:val="004B15B8"/>
    <w:rsid w:val="004B566C"/>
    <w:rsid w:val="004B7B48"/>
    <w:rsid w:val="004D4AB1"/>
    <w:rsid w:val="004F218A"/>
    <w:rsid w:val="004F6481"/>
    <w:rsid w:val="0050334E"/>
    <w:rsid w:val="00505387"/>
    <w:rsid w:val="00512DF7"/>
    <w:rsid w:val="005141E7"/>
    <w:rsid w:val="00517E63"/>
    <w:rsid w:val="00526B0D"/>
    <w:rsid w:val="0055346F"/>
    <w:rsid w:val="005579FF"/>
    <w:rsid w:val="00557AB3"/>
    <w:rsid w:val="005776DD"/>
    <w:rsid w:val="00582117"/>
    <w:rsid w:val="00584586"/>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5A91"/>
    <w:rsid w:val="006D07AE"/>
    <w:rsid w:val="006D1C93"/>
    <w:rsid w:val="006E3F11"/>
    <w:rsid w:val="006E526C"/>
    <w:rsid w:val="00701410"/>
    <w:rsid w:val="007113A1"/>
    <w:rsid w:val="00714D27"/>
    <w:rsid w:val="00721CF6"/>
    <w:rsid w:val="00723E46"/>
    <w:rsid w:val="00733826"/>
    <w:rsid w:val="00753389"/>
    <w:rsid w:val="00766CFB"/>
    <w:rsid w:val="007816FF"/>
    <w:rsid w:val="00783B44"/>
    <w:rsid w:val="00785028"/>
    <w:rsid w:val="00790080"/>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4520"/>
    <w:rsid w:val="008960DE"/>
    <w:rsid w:val="008A36DF"/>
    <w:rsid w:val="008B40F2"/>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7856"/>
    <w:rsid w:val="00A03514"/>
    <w:rsid w:val="00A17079"/>
    <w:rsid w:val="00A448C3"/>
    <w:rsid w:val="00A458D4"/>
    <w:rsid w:val="00A46FB7"/>
    <w:rsid w:val="00A53118"/>
    <w:rsid w:val="00A86AB5"/>
    <w:rsid w:val="00A9263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64DC"/>
    <w:rsid w:val="00B2766F"/>
    <w:rsid w:val="00B31ABC"/>
    <w:rsid w:val="00B445ED"/>
    <w:rsid w:val="00B6300F"/>
    <w:rsid w:val="00B70389"/>
    <w:rsid w:val="00B84623"/>
    <w:rsid w:val="00BA494B"/>
    <w:rsid w:val="00BA51EF"/>
    <w:rsid w:val="00BB66D5"/>
    <w:rsid w:val="00BC7E6E"/>
    <w:rsid w:val="00BD4D42"/>
    <w:rsid w:val="00BE1D1F"/>
    <w:rsid w:val="00BE256D"/>
    <w:rsid w:val="00BE3060"/>
    <w:rsid w:val="00BE5904"/>
    <w:rsid w:val="00BE5E66"/>
    <w:rsid w:val="00BE6BBA"/>
    <w:rsid w:val="00BF45AB"/>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00E"/>
    <w:rsid w:val="00CD7EAD"/>
    <w:rsid w:val="00CF5E71"/>
    <w:rsid w:val="00CF7FAC"/>
    <w:rsid w:val="00D160C1"/>
    <w:rsid w:val="00D17794"/>
    <w:rsid w:val="00D22398"/>
    <w:rsid w:val="00D35E6C"/>
    <w:rsid w:val="00D436CF"/>
    <w:rsid w:val="00D45B2F"/>
    <w:rsid w:val="00D46E88"/>
    <w:rsid w:val="00D56B73"/>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37C7B"/>
    <w:rsid w:val="00E544FA"/>
    <w:rsid w:val="00E55E83"/>
    <w:rsid w:val="00E5696E"/>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4DCA"/>
    <w:rsid w:val="00EF674A"/>
    <w:rsid w:val="00F00A3D"/>
    <w:rsid w:val="00F17CA4"/>
    <w:rsid w:val="00F20B7B"/>
    <w:rsid w:val="00F24DDD"/>
    <w:rsid w:val="00F2770B"/>
    <w:rsid w:val="00F448DE"/>
    <w:rsid w:val="00F549A3"/>
    <w:rsid w:val="00F5520E"/>
    <w:rsid w:val="00F55CBF"/>
    <w:rsid w:val="00F72B10"/>
    <w:rsid w:val="00F77359"/>
    <w:rsid w:val="00F86A73"/>
    <w:rsid w:val="00FA1ABD"/>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92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14346148">
      <w:bodyDiv w:val="1"/>
      <w:marLeft w:val="0"/>
      <w:marRight w:val="0"/>
      <w:marTop w:val="0"/>
      <w:marBottom w:val="0"/>
      <w:divBdr>
        <w:top w:val="none" w:sz="0" w:space="0" w:color="auto"/>
        <w:left w:val="none" w:sz="0" w:space="0" w:color="auto"/>
        <w:bottom w:val="none" w:sz="0" w:space="0" w:color="auto"/>
        <w:right w:val="none" w:sz="0" w:space="0" w:color="auto"/>
      </w:divBdr>
    </w:div>
    <w:div w:id="8133310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13249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64714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41305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03-e/Docs/R4-2210520.zip" TargetMode="External"/><Relationship Id="rId5" Type="http://schemas.openxmlformats.org/officeDocument/2006/relationships/styles" Target="styles.xml"/><Relationship Id="rId10" Type="http://schemas.openxmlformats.org/officeDocument/2006/relationships/hyperlink" Target="https://www.3gpp.org/ftp/tsg_ran/WG4_Radio/TSGR4_103-e/Docs/R4-22105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6C867-4C0E-463C-9D62-7A4CE028E036}">
  <ds:schemaRefs>
    <ds:schemaRef ds:uri="http://www.w3.org/XML/1998/namespace"/>
    <ds:schemaRef ds:uri="http://schemas.microsoft.com/office/2006/documentManagement/types"/>
    <ds:schemaRef ds:uri="http://schemas.microsoft.com/office/2006/metadata/properties"/>
    <ds:schemaRef ds:uri="http://purl.org/dc/dcmitype/"/>
    <ds:schemaRef ds:uri="2f282d3b-eb4a-4b09-b61f-b9593442e286"/>
    <ds:schemaRef ds:uri="http://purl.org/dc/elements/1.1/"/>
    <ds:schemaRef ds:uri="http://schemas.microsoft.com/sharepoint/v3"/>
    <ds:schemaRef ds:uri="http://schemas.microsoft.com/office/infopath/2007/PartnerControls"/>
    <ds:schemaRef ds:uri="http://schemas.openxmlformats.org/package/2006/metadata/core-properties"/>
    <ds:schemaRef ds:uri="9b239327-9e80-40e4-b1b7-4394fed77a33"/>
    <ds:schemaRef ds:uri="http://purl.org/dc/terms/"/>
  </ds:schemaRefs>
</ds:datastoreItem>
</file>

<file path=customXml/itemProps2.xml><?xml version="1.0" encoding="utf-8"?>
<ds:datastoreItem xmlns:ds="http://schemas.openxmlformats.org/officeDocument/2006/customXml" ds:itemID="{24D695D8-50BD-4E8D-B518-E2BB4F7B2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9BC41B-901E-4DEE-A1C8-AC40A9DC9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Wanuga, Kevin (Nokia - US/Murray Hill)</cp:lastModifiedBy>
  <cp:revision>2</cp:revision>
  <dcterms:created xsi:type="dcterms:W3CDTF">2022-06-07T11:55:00Z</dcterms:created>
  <dcterms:modified xsi:type="dcterms:W3CDTF">2022-06-07T11:55:00Z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7195300</vt:r8>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b1aa2129-79ec-42c0-bfac-e5b7a0374572_Enabled">
    <vt:lpwstr>true</vt:lpwstr>
  </property>
  <property fmtid="{D5CDD505-2E9C-101B-9397-08002B2CF9AE}" pid="8" name="MSIP_Label_b1aa2129-79ec-42c0-bfac-e5b7a0374572_SetDate">
    <vt:lpwstr>2022-06-07T11:55:06Z</vt:lpwstr>
  </property>
  <property fmtid="{D5CDD505-2E9C-101B-9397-08002B2CF9AE}" pid="9" name="MSIP_Label_b1aa2129-79ec-42c0-bfac-e5b7a0374572_Method">
    <vt:lpwstr>Privileged</vt:lpwstr>
  </property>
  <property fmtid="{D5CDD505-2E9C-101B-9397-08002B2CF9AE}" pid="10" name="MSIP_Label_b1aa2129-79ec-42c0-bfac-e5b7a0374572_Name">
    <vt:lpwstr>b1aa2129-79ec-42c0-bfac-e5b7a0374572</vt:lpwstr>
  </property>
  <property fmtid="{D5CDD505-2E9C-101B-9397-08002B2CF9AE}" pid="11" name="MSIP_Label_b1aa2129-79ec-42c0-bfac-e5b7a0374572_SiteId">
    <vt:lpwstr>5d471751-9675-428d-917b-70f44f9630b0</vt:lpwstr>
  </property>
  <property fmtid="{D5CDD505-2E9C-101B-9397-08002B2CF9AE}" pid="12" name="MSIP_Label_b1aa2129-79ec-42c0-bfac-e5b7a0374572_ContentBits">
    <vt:lpwstr>0</vt:lpwstr>
  </property>
</Properties>
</file>